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CA6A15" w14:textId="77777777" w:rsidR="00B34108" w:rsidRDefault="00B34108" w:rsidP="00B34108">
      <w:pPr>
        <w:widowControl w:val="0"/>
        <w:tabs>
          <w:tab w:val="center" w:pos="4680"/>
        </w:tabs>
        <w:jc w:val="center"/>
        <w:rPr>
          <w:b/>
          <w:sz w:val="28"/>
        </w:rPr>
      </w:pPr>
      <w:r>
        <w:rPr>
          <w:b/>
          <w:sz w:val="28"/>
        </w:rPr>
        <w:t xml:space="preserve">DENTAL HEALTH AIDE </w:t>
      </w:r>
    </w:p>
    <w:p w14:paraId="2ECA6A16" w14:textId="75C76701" w:rsidR="00B34108" w:rsidRDefault="00B34108" w:rsidP="00200BB5">
      <w:pPr>
        <w:pStyle w:val="Heading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RE-ENTRY GUIDELINES</w:t>
      </w:r>
    </w:p>
    <w:p w14:paraId="7DC799F4" w14:textId="010B9108" w:rsidR="004A4F61" w:rsidRPr="004A4F61" w:rsidRDefault="00B220EF" w:rsidP="004A4F61">
      <w:pPr>
        <w:jc w:val="center"/>
      </w:pPr>
      <w:r>
        <w:t>Sec 2.50.200(a)(4)(B)(ii)</w:t>
      </w:r>
    </w:p>
    <w:p w14:paraId="2ECA6A17" w14:textId="77777777" w:rsidR="00B34108" w:rsidRDefault="00B34108" w:rsidP="00B34108">
      <w:pPr>
        <w:widowControl w:val="0"/>
        <w:jc w:val="both"/>
        <w:rPr>
          <w:sz w:val="24"/>
        </w:rPr>
      </w:pPr>
    </w:p>
    <w:p w14:paraId="2ECA6A18" w14:textId="77777777" w:rsidR="00B34108" w:rsidRPr="00B34108" w:rsidRDefault="00D5462B" w:rsidP="00B34108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INTRODUCTION</w:t>
      </w:r>
    </w:p>
    <w:p w14:paraId="2ECA6A19" w14:textId="77777777" w:rsidR="00B34108" w:rsidRPr="00B34108" w:rsidRDefault="00B34108" w:rsidP="00B34108">
      <w:pPr>
        <w:widowControl w:val="0"/>
        <w:jc w:val="both"/>
        <w:rPr>
          <w:sz w:val="24"/>
          <w:szCs w:val="24"/>
        </w:rPr>
      </w:pPr>
    </w:p>
    <w:p w14:paraId="2ECA6A1A" w14:textId="11C42D15" w:rsidR="00B34108" w:rsidRPr="00B34108" w:rsidRDefault="00B34108" w:rsidP="00B34108">
      <w:pPr>
        <w:widowControl w:val="0"/>
        <w:jc w:val="both"/>
        <w:rPr>
          <w:sz w:val="24"/>
          <w:szCs w:val="24"/>
        </w:rPr>
      </w:pPr>
      <w:r w:rsidRPr="00B34108">
        <w:rPr>
          <w:sz w:val="24"/>
          <w:szCs w:val="24"/>
        </w:rPr>
        <w:t xml:space="preserve">The Dental Health Aide (DHA) Program recognizes the need for standardized guidelines for Dental Health </w:t>
      </w:r>
      <w:r w:rsidR="00D5462B">
        <w:rPr>
          <w:sz w:val="24"/>
          <w:szCs w:val="24"/>
        </w:rPr>
        <w:t>Aides after an extended absence</w:t>
      </w:r>
      <w:r w:rsidR="003B138C">
        <w:rPr>
          <w:sz w:val="24"/>
          <w:szCs w:val="24"/>
        </w:rPr>
        <w:t xml:space="preserve"> from direct patient care.  </w:t>
      </w:r>
      <w:r w:rsidR="00796802">
        <w:rPr>
          <w:sz w:val="24"/>
          <w:szCs w:val="24"/>
        </w:rPr>
        <w:t>If the</w:t>
      </w:r>
      <w:r w:rsidR="003B138C">
        <w:rPr>
          <w:sz w:val="24"/>
          <w:szCs w:val="24"/>
        </w:rPr>
        <w:t>ir</w:t>
      </w:r>
      <w:r w:rsidR="00796802">
        <w:rPr>
          <w:sz w:val="24"/>
          <w:szCs w:val="24"/>
        </w:rPr>
        <w:t xml:space="preserve"> certification has lapsed</w:t>
      </w:r>
      <w:r w:rsidR="003B138C">
        <w:rPr>
          <w:sz w:val="24"/>
          <w:szCs w:val="24"/>
        </w:rPr>
        <w:t>,</w:t>
      </w:r>
      <w:r w:rsidR="00796802">
        <w:rPr>
          <w:sz w:val="24"/>
          <w:szCs w:val="24"/>
        </w:rPr>
        <w:t xml:space="preserve"> the applicant will also follow 2.50.300</w:t>
      </w:r>
      <w:r w:rsidR="004F4802">
        <w:rPr>
          <w:sz w:val="24"/>
          <w:szCs w:val="24"/>
        </w:rPr>
        <w:t>.</w:t>
      </w:r>
      <w:r w:rsidR="00D5462B">
        <w:rPr>
          <w:sz w:val="24"/>
          <w:szCs w:val="24"/>
        </w:rPr>
        <w:t xml:space="preserve"> </w:t>
      </w:r>
    </w:p>
    <w:p w14:paraId="2ECA6A1B" w14:textId="77777777" w:rsidR="00B34108" w:rsidRPr="00B34108" w:rsidRDefault="00B34108" w:rsidP="00B34108">
      <w:pPr>
        <w:widowControl w:val="0"/>
        <w:jc w:val="both"/>
        <w:rPr>
          <w:sz w:val="24"/>
          <w:szCs w:val="24"/>
        </w:rPr>
      </w:pPr>
    </w:p>
    <w:p w14:paraId="2ECA6A1C" w14:textId="77777777" w:rsidR="00B34108" w:rsidRPr="00B34108" w:rsidRDefault="00CB49E6" w:rsidP="00B34108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GOALS</w:t>
      </w:r>
    </w:p>
    <w:p w14:paraId="2ECA6A1D" w14:textId="77777777" w:rsidR="00B34108" w:rsidRPr="00B34108" w:rsidRDefault="00B34108" w:rsidP="00B34108">
      <w:pPr>
        <w:widowControl w:val="0"/>
        <w:jc w:val="both"/>
        <w:rPr>
          <w:sz w:val="24"/>
          <w:szCs w:val="24"/>
        </w:rPr>
      </w:pPr>
    </w:p>
    <w:p w14:paraId="2ECA6A1E" w14:textId="77777777" w:rsidR="00B34108" w:rsidRPr="00B34108" w:rsidRDefault="00B34108" w:rsidP="00B34108">
      <w:pPr>
        <w:widowControl w:val="0"/>
        <w:jc w:val="both"/>
        <w:rPr>
          <w:sz w:val="24"/>
          <w:szCs w:val="24"/>
        </w:rPr>
      </w:pPr>
      <w:r w:rsidRPr="00B34108">
        <w:rPr>
          <w:sz w:val="24"/>
          <w:szCs w:val="24"/>
        </w:rPr>
        <w:t>To maintain Dental Health Aide clinical competency and ensure the delivery of quality health care to Alaska Native residents.</w:t>
      </w:r>
    </w:p>
    <w:p w14:paraId="2ECA6A1F" w14:textId="77777777" w:rsidR="00B34108" w:rsidRPr="00B34108" w:rsidRDefault="00B34108" w:rsidP="00B34108">
      <w:pPr>
        <w:widowControl w:val="0"/>
        <w:jc w:val="both"/>
        <w:rPr>
          <w:sz w:val="24"/>
          <w:szCs w:val="24"/>
          <w:u w:val="single"/>
        </w:rPr>
      </w:pPr>
    </w:p>
    <w:p w14:paraId="2ECA6A22" w14:textId="550DA681" w:rsidR="00D1177A" w:rsidRDefault="00D5462B" w:rsidP="00D1177A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DEFINITION OF TERMS</w:t>
      </w:r>
      <w:r w:rsidR="00B34108" w:rsidRPr="00B34108">
        <w:rPr>
          <w:sz w:val="24"/>
          <w:szCs w:val="24"/>
        </w:rPr>
        <w:tab/>
      </w:r>
    </w:p>
    <w:p w14:paraId="3B8F934F" w14:textId="40A2A492" w:rsidR="00EC447D" w:rsidRDefault="00EC447D" w:rsidP="00D1177A">
      <w:pPr>
        <w:widowControl w:val="0"/>
        <w:jc w:val="both"/>
        <w:rPr>
          <w:sz w:val="24"/>
          <w:szCs w:val="24"/>
        </w:rPr>
      </w:pPr>
    </w:p>
    <w:p w14:paraId="3A905B2B" w14:textId="45185F5D" w:rsidR="00EC447D" w:rsidRDefault="00EC447D" w:rsidP="00D1177A">
      <w:pPr>
        <w:widowControl w:val="0"/>
        <w:jc w:val="both"/>
        <w:rPr>
          <w:sz w:val="24"/>
          <w:szCs w:val="24"/>
        </w:rPr>
      </w:pPr>
      <w:r w:rsidRPr="00EC447D">
        <w:rPr>
          <w:b/>
          <w:sz w:val="24"/>
          <w:szCs w:val="24"/>
        </w:rPr>
        <w:t>Extended Clinical Absence</w:t>
      </w:r>
      <w:r>
        <w:rPr>
          <w:sz w:val="24"/>
          <w:szCs w:val="24"/>
        </w:rPr>
        <w:t xml:space="preserve"> – A Clinical Absence greater than 6 months</w:t>
      </w:r>
      <w:r w:rsidR="009B25BF">
        <w:rPr>
          <w:sz w:val="24"/>
          <w:szCs w:val="24"/>
        </w:rPr>
        <w:t xml:space="preserve"> during which the individual has not worked as a DHA doing direct patient care for a minimum of 40 hours and 20 patient encounters.</w:t>
      </w:r>
    </w:p>
    <w:p w14:paraId="151DD6F7" w14:textId="77777777" w:rsidR="00EC447D" w:rsidRDefault="00EC447D" w:rsidP="00D1177A">
      <w:pPr>
        <w:widowControl w:val="0"/>
        <w:jc w:val="both"/>
        <w:rPr>
          <w:sz w:val="24"/>
          <w:szCs w:val="24"/>
        </w:rPr>
      </w:pPr>
    </w:p>
    <w:p w14:paraId="0F359DE5" w14:textId="1B90D757" w:rsidR="00EC447D" w:rsidRDefault="00EC447D" w:rsidP="00D1177A">
      <w:pPr>
        <w:widowControl w:val="0"/>
        <w:jc w:val="both"/>
        <w:rPr>
          <w:sz w:val="24"/>
          <w:szCs w:val="24"/>
        </w:rPr>
      </w:pPr>
      <w:r w:rsidRPr="00EC447D">
        <w:rPr>
          <w:b/>
          <w:sz w:val="24"/>
          <w:szCs w:val="24"/>
        </w:rPr>
        <w:t>Appropriate Supervisor</w:t>
      </w:r>
      <w:r>
        <w:rPr>
          <w:sz w:val="24"/>
          <w:szCs w:val="24"/>
        </w:rPr>
        <w:t xml:space="preserve"> – See section 2.30.010(a)</w:t>
      </w:r>
    </w:p>
    <w:p w14:paraId="2ECA6A23" w14:textId="77777777" w:rsidR="00B34108" w:rsidRPr="00B34108" w:rsidRDefault="00B34108" w:rsidP="003624AA">
      <w:pPr>
        <w:widowControl w:val="0"/>
        <w:jc w:val="both"/>
        <w:rPr>
          <w:b/>
          <w:sz w:val="24"/>
          <w:szCs w:val="24"/>
        </w:rPr>
      </w:pPr>
    </w:p>
    <w:p w14:paraId="2ECA6A24" w14:textId="6E794965" w:rsidR="00F47945" w:rsidRPr="00EC447D" w:rsidRDefault="00EC447D" w:rsidP="00EC447D">
      <w:pPr>
        <w:rPr>
          <w:sz w:val="24"/>
          <w:szCs w:val="24"/>
          <w:u w:val="single"/>
        </w:rPr>
      </w:pPr>
      <w:r w:rsidRPr="00EC447D">
        <w:rPr>
          <w:sz w:val="24"/>
          <w:szCs w:val="24"/>
          <w:u w:val="single"/>
        </w:rPr>
        <w:t>GUIDELINES FOR DHA RE-ENTRY</w:t>
      </w:r>
    </w:p>
    <w:p w14:paraId="22A12CC2" w14:textId="77777777" w:rsidR="00EC447D" w:rsidRPr="009D0530" w:rsidRDefault="00EC447D" w:rsidP="00EC447D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9"/>
        <w:gridCol w:w="3109"/>
        <w:gridCol w:w="3132"/>
      </w:tblGrid>
      <w:tr w:rsidR="00B34108" w14:paraId="2ECA6A28" w14:textId="77777777" w:rsidTr="00B34108">
        <w:tc>
          <w:tcPr>
            <w:tcW w:w="3192" w:type="dxa"/>
          </w:tcPr>
          <w:p w14:paraId="2ECA6A25" w14:textId="77777777" w:rsidR="00B34108" w:rsidRDefault="00B34108" w:rsidP="00B341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Training Level</w:t>
            </w:r>
          </w:p>
        </w:tc>
        <w:tc>
          <w:tcPr>
            <w:tcW w:w="3192" w:type="dxa"/>
          </w:tcPr>
          <w:p w14:paraId="2ECA6A26" w14:textId="1082EDF3" w:rsidR="00B34108" w:rsidRDefault="00AF6C2A" w:rsidP="00B341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Length of </w:t>
            </w:r>
            <w:r w:rsidR="00EC447D">
              <w:rPr>
                <w:sz w:val="24"/>
                <w:szCs w:val="24"/>
              </w:rPr>
              <w:t xml:space="preserve">Clinical </w:t>
            </w:r>
            <w:r>
              <w:rPr>
                <w:sz w:val="24"/>
                <w:szCs w:val="24"/>
              </w:rPr>
              <w:t>Absence</w:t>
            </w:r>
          </w:p>
        </w:tc>
        <w:tc>
          <w:tcPr>
            <w:tcW w:w="3192" w:type="dxa"/>
          </w:tcPr>
          <w:p w14:paraId="2ECA6A27" w14:textId="77777777" w:rsidR="00B34108" w:rsidRDefault="00B34108" w:rsidP="00B341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Guidelines</w:t>
            </w:r>
          </w:p>
        </w:tc>
      </w:tr>
      <w:tr w:rsidR="00B34108" w14:paraId="2ECA6A2F" w14:textId="77777777" w:rsidTr="00B34108">
        <w:tc>
          <w:tcPr>
            <w:tcW w:w="3192" w:type="dxa"/>
            <w:vMerge w:val="restart"/>
          </w:tcPr>
          <w:p w14:paraId="2ECA6A29" w14:textId="77777777" w:rsidR="00B34108" w:rsidRDefault="00B34108" w:rsidP="00B341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PDHA I and II</w:t>
            </w:r>
          </w:p>
          <w:p w14:paraId="2ECA6A2A" w14:textId="77777777" w:rsidR="00B34108" w:rsidRDefault="009815A6" w:rsidP="00B341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EFD</w:t>
            </w:r>
            <w:r w:rsidR="00B34108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A</w:t>
            </w:r>
            <w:r w:rsidR="00B34108">
              <w:rPr>
                <w:sz w:val="24"/>
                <w:szCs w:val="24"/>
              </w:rPr>
              <w:t xml:space="preserve"> I and II</w:t>
            </w:r>
          </w:p>
          <w:p w14:paraId="2ECA6A2C" w14:textId="43096CED" w:rsidR="00B34108" w:rsidRDefault="009D0530" w:rsidP="00B341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DHAH</w:t>
            </w:r>
            <w:r w:rsidR="0091051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B34108">
              <w:rPr>
                <w:sz w:val="24"/>
                <w:szCs w:val="24"/>
              </w:rPr>
              <w:t>DHAT</w:t>
            </w:r>
            <w:r w:rsidR="0091051E">
              <w:rPr>
                <w:sz w:val="24"/>
                <w:szCs w:val="24"/>
              </w:rPr>
              <w:t>, DHATP</w:t>
            </w:r>
          </w:p>
        </w:tc>
        <w:tc>
          <w:tcPr>
            <w:tcW w:w="3192" w:type="dxa"/>
          </w:tcPr>
          <w:p w14:paraId="2ECA6A2D" w14:textId="77777777" w:rsidR="00B34108" w:rsidRDefault="009815A6" w:rsidP="00B341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≤ </w:t>
            </w:r>
            <w:r w:rsidR="00B34108">
              <w:rPr>
                <w:sz w:val="24"/>
                <w:szCs w:val="24"/>
              </w:rPr>
              <w:t>6 months</w:t>
            </w:r>
          </w:p>
        </w:tc>
        <w:tc>
          <w:tcPr>
            <w:tcW w:w="3192" w:type="dxa"/>
          </w:tcPr>
          <w:p w14:paraId="2ECA6A2E" w14:textId="6A89DFCD" w:rsidR="00B34108" w:rsidRDefault="00E866B1" w:rsidP="00B341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9D0530">
              <w:rPr>
                <w:sz w:val="24"/>
                <w:szCs w:val="24"/>
              </w:rPr>
              <w:t>D</w:t>
            </w:r>
            <w:r w:rsidR="00EC447D">
              <w:rPr>
                <w:sz w:val="24"/>
                <w:szCs w:val="24"/>
              </w:rPr>
              <w:t>iscretion of Appropriate Supervisor</w:t>
            </w:r>
          </w:p>
        </w:tc>
      </w:tr>
      <w:tr w:rsidR="00B34108" w14:paraId="2ECA6A35" w14:textId="77777777" w:rsidTr="00B34108">
        <w:tc>
          <w:tcPr>
            <w:tcW w:w="3192" w:type="dxa"/>
            <w:vMerge/>
          </w:tcPr>
          <w:p w14:paraId="2ECA6A30" w14:textId="77777777" w:rsidR="00B34108" w:rsidRDefault="00B34108" w:rsidP="00B34108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14:paraId="2ECA6A31" w14:textId="77777777" w:rsidR="009D0530" w:rsidRDefault="00B34108" w:rsidP="00B341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&gt; 6 months </w:t>
            </w:r>
          </w:p>
          <w:p w14:paraId="2ECA6A32" w14:textId="77777777" w:rsidR="00B34108" w:rsidRPr="00B34108" w:rsidRDefault="00B34108" w:rsidP="00B341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 2 years</w:t>
            </w:r>
          </w:p>
        </w:tc>
        <w:tc>
          <w:tcPr>
            <w:tcW w:w="3192" w:type="dxa"/>
          </w:tcPr>
          <w:p w14:paraId="2ECA6A33" w14:textId="23DE5486" w:rsidR="00B34108" w:rsidRDefault="00E866B1" w:rsidP="00B341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9D0530">
              <w:rPr>
                <w:sz w:val="24"/>
                <w:szCs w:val="24"/>
              </w:rPr>
              <w:t xml:space="preserve">Clinical </w:t>
            </w:r>
            <w:r w:rsidR="00EC447D">
              <w:rPr>
                <w:sz w:val="24"/>
                <w:szCs w:val="24"/>
              </w:rPr>
              <w:t>Competency E</w:t>
            </w:r>
            <w:r w:rsidR="009D0530">
              <w:rPr>
                <w:sz w:val="24"/>
                <w:szCs w:val="24"/>
              </w:rPr>
              <w:t>valuation as defined by the Recertification Process</w:t>
            </w:r>
            <w:r w:rsidR="00EC447D">
              <w:rPr>
                <w:sz w:val="24"/>
                <w:szCs w:val="24"/>
              </w:rPr>
              <w:t xml:space="preserve"> in</w:t>
            </w:r>
          </w:p>
          <w:p w14:paraId="2ECA6A34" w14:textId="3BCB1703" w:rsidR="00D1177A" w:rsidRDefault="00D1177A" w:rsidP="00C4579F">
            <w:pPr>
              <w:rPr>
                <w:sz w:val="24"/>
                <w:szCs w:val="24"/>
              </w:rPr>
            </w:pPr>
            <w:r w:rsidRPr="004F4802">
              <w:rPr>
                <w:sz w:val="24"/>
                <w:szCs w:val="24"/>
              </w:rPr>
              <w:t>Sec. 3.10.050</w:t>
            </w:r>
            <w:r w:rsidR="00D91B87">
              <w:rPr>
                <w:sz w:val="24"/>
                <w:szCs w:val="24"/>
              </w:rPr>
              <w:t xml:space="preserve"> (a)(1)(B)</w:t>
            </w:r>
            <w:r w:rsidR="00EC447D">
              <w:rPr>
                <w:sz w:val="24"/>
                <w:szCs w:val="24"/>
              </w:rPr>
              <w:t xml:space="preserve"> done by an Appropriate Supervisor</w:t>
            </w:r>
            <w:r w:rsidR="00D91B87">
              <w:rPr>
                <w:sz w:val="24"/>
                <w:szCs w:val="24"/>
              </w:rPr>
              <w:t xml:space="preserve"> </w:t>
            </w:r>
          </w:p>
        </w:tc>
      </w:tr>
      <w:tr w:rsidR="00B34108" w14:paraId="2ECA6A3A" w14:textId="77777777" w:rsidTr="00B34108">
        <w:tc>
          <w:tcPr>
            <w:tcW w:w="3192" w:type="dxa"/>
            <w:vMerge/>
          </w:tcPr>
          <w:p w14:paraId="2ECA6A36" w14:textId="77777777" w:rsidR="00B34108" w:rsidRDefault="00B34108" w:rsidP="00B34108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14:paraId="2ECA6A37" w14:textId="77777777" w:rsidR="00B34108" w:rsidRDefault="009815A6" w:rsidP="00B341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≥</w:t>
            </w:r>
            <w:r w:rsidR="00B34108">
              <w:rPr>
                <w:sz w:val="24"/>
                <w:szCs w:val="24"/>
              </w:rPr>
              <w:t xml:space="preserve"> 2 years</w:t>
            </w:r>
          </w:p>
        </w:tc>
        <w:tc>
          <w:tcPr>
            <w:tcW w:w="3192" w:type="dxa"/>
          </w:tcPr>
          <w:p w14:paraId="2ECA6A38" w14:textId="24DA6FDD" w:rsidR="009D0530" w:rsidRDefault="009D0530" w:rsidP="00B341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-Clinical competency evaluation as defined by </w:t>
            </w:r>
            <w:r w:rsidR="00EC447D">
              <w:rPr>
                <w:sz w:val="24"/>
                <w:szCs w:val="24"/>
              </w:rPr>
              <w:t>the corresponding</w:t>
            </w:r>
            <w:r>
              <w:rPr>
                <w:sz w:val="24"/>
                <w:szCs w:val="24"/>
              </w:rPr>
              <w:t xml:space="preserve"> Preceptorship Process</w:t>
            </w:r>
            <w:r w:rsidR="00EC447D">
              <w:rPr>
                <w:sz w:val="24"/>
                <w:szCs w:val="24"/>
              </w:rPr>
              <w:t xml:space="preserve"> listed in</w:t>
            </w:r>
          </w:p>
          <w:p w14:paraId="2ECA6A39" w14:textId="1D0B6CF3" w:rsidR="00D1177A" w:rsidRDefault="00A16093" w:rsidP="00B34108">
            <w:pPr>
              <w:rPr>
                <w:sz w:val="24"/>
                <w:szCs w:val="24"/>
              </w:rPr>
            </w:pPr>
            <w:r w:rsidRPr="004F4802">
              <w:rPr>
                <w:sz w:val="24"/>
                <w:szCs w:val="24"/>
              </w:rPr>
              <w:t>Sec. 2.30</w:t>
            </w:r>
            <w:r w:rsidR="00D1177A" w:rsidRPr="004F4802">
              <w:rPr>
                <w:sz w:val="24"/>
                <w:szCs w:val="24"/>
              </w:rPr>
              <w:t>.</w:t>
            </w:r>
            <w:r w:rsidR="00E14393" w:rsidRPr="004F4802">
              <w:rPr>
                <w:sz w:val="24"/>
                <w:szCs w:val="24"/>
              </w:rPr>
              <w:t>020(a)(2)</w:t>
            </w:r>
            <w:r w:rsidR="00EC447D">
              <w:rPr>
                <w:sz w:val="24"/>
                <w:szCs w:val="24"/>
              </w:rPr>
              <w:t xml:space="preserve"> done by an Appropriate Supervisor.</w:t>
            </w:r>
          </w:p>
        </w:tc>
      </w:tr>
    </w:tbl>
    <w:p w14:paraId="07FBBE67" w14:textId="5FC41E2D" w:rsidR="00EC447D" w:rsidRDefault="00EC447D" w:rsidP="00B34108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jc w:val="both"/>
        <w:rPr>
          <w:sz w:val="24"/>
          <w:u w:val="single"/>
        </w:rPr>
      </w:pPr>
    </w:p>
    <w:p w14:paraId="3E781F9B" w14:textId="77777777" w:rsidR="0036033D" w:rsidRDefault="0036033D" w:rsidP="00B34108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sz w:val="24"/>
          <w:u w:val="single"/>
        </w:rPr>
      </w:pPr>
    </w:p>
    <w:p w14:paraId="2E2B208C" w14:textId="77777777" w:rsidR="0036033D" w:rsidRDefault="0036033D" w:rsidP="00B34108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sz w:val="24"/>
          <w:u w:val="single"/>
        </w:rPr>
      </w:pPr>
    </w:p>
    <w:p w14:paraId="70B69C18" w14:textId="77777777" w:rsidR="0036033D" w:rsidRDefault="0036033D" w:rsidP="00B34108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sz w:val="24"/>
          <w:u w:val="single"/>
        </w:rPr>
      </w:pPr>
    </w:p>
    <w:p w14:paraId="1BE95CC2" w14:textId="77777777" w:rsidR="0036033D" w:rsidRDefault="0036033D" w:rsidP="00B34108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sz w:val="24"/>
          <w:u w:val="single"/>
        </w:rPr>
      </w:pPr>
    </w:p>
    <w:p w14:paraId="071CA8A6" w14:textId="77777777" w:rsidR="0036033D" w:rsidRDefault="0036033D" w:rsidP="00B34108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sz w:val="24"/>
          <w:u w:val="single"/>
        </w:rPr>
      </w:pPr>
    </w:p>
    <w:p w14:paraId="1602784C" w14:textId="77777777" w:rsidR="0020208E" w:rsidRDefault="0020208E" w:rsidP="00B34108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sz w:val="24"/>
          <w:u w:val="single"/>
        </w:rPr>
      </w:pPr>
    </w:p>
    <w:p w14:paraId="2ECA6A3C" w14:textId="681202CE" w:rsidR="00B34108" w:rsidRPr="00B34108" w:rsidRDefault="00CB49E6" w:rsidP="00B34108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sz w:val="24"/>
        </w:rPr>
      </w:pPr>
      <w:r>
        <w:rPr>
          <w:sz w:val="24"/>
          <w:u w:val="single"/>
        </w:rPr>
        <w:lastRenderedPageBreak/>
        <w:t>RESPONSIBILITIES</w:t>
      </w:r>
    </w:p>
    <w:p w14:paraId="2ECA6A3D" w14:textId="77777777" w:rsidR="00B34108" w:rsidRPr="00B34108" w:rsidRDefault="00B34108" w:rsidP="00B34108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sz w:val="24"/>
        </w:rPr>
      </w:pPr>
    </w:p>
    <w:p w14:paraId="2ECA6A3E" w14:textId="77777777" w:rsidR="00B34108" w:rsidRPr="003624AA" w:rsidRDefault="00D1177A" w:rsidP="00B34108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sz w:val="24"/>
        </w:rPr>
      </w:pPr>
      <w:r w:rsidRPr="003624AA">
        <w:rPr>
          <w:sz w:val="24"/>
        </w:rPr>
        <w:t xml:space="preserve">ROLE OF </w:t>
      </w:r>
      <w:r w:rsidR="00D5462B" w:rsidRPr="003624AA">
        <w:rPr>
          <w:sz w:val="24"/>
        </w:rPr>
        <w:t>EMPLOYER</w:t>
      </w:r>
    </w:p>
    <w:p w14:paraId="2ECA6A3F" w14:textId="7884C1AC" w:rsidR="00B34108" w:rsidRPr="00B34108" w:rsidRDefault="003B138C" w:rsidP="003624A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  <w:t>Coordinate the Re-E</w:t>
      </w:r>
      <w:r w:rsidR="00B34108" w:rsidRPr="00B34108">
        <w:rPr>
          <w:sz w:val="24"/>
        </w:rPr>
        <w:t>ntry process.</w:t>
      </w:r>
    </w:p>
    <w:p w14:paraId="2ECA6A40" w14:textId="282D38F9" w:rsidR="00B34108" w:rsidRPr="00B34108" w:rsidRDefault="00B34108" w:rsidP="00B34108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sz w:val="24"/>
        </w:rPr>
      </w:pPr>
      <w:r w:rsidRPr="00B34108">
        <w:rPr>
          <w:sz w:val="24"/>
        </w:rPr>
        <w:t>2.</w:t>
      </w:r>
      <w:r w:rsidRPr="00B34108">
        <w:rPr>
          <w:sz w:val="24"/>
        </w:rPr>
        <w:tab/>
        <w:t xml:space="preserve">Provide orientation to the staff and </w:t>
      </w:r>
      <w:r>
        <w:rPr>
          <w:sz w:val="24"/>
        </w:rPr>
        <w:t>DHA</w:t>
      </w:r>
      <w:r w:rsidR="003B138C">
        <w:rPr>
          <w:sz w:val="24"/>
        </w:rPr>
        <w:t xml:space="preserve"> involved in the Re-E</w:t>
      </w:r>
      <w:r w:rsidRPr="00B34108">
        <w:rPr>
          <w:sz w:val="24"/>
        </w:rPr>
        <w:t>ntry process.</w:t>
      </w:r>
    </w:p>
    <w:p w14:paraId="2ECA6A41" w14:textId="77777777" w:rsidR="00B34108" w:rsidRPr="00B34108" w:rsidRDefault="00B34108" w:rsidP="00B34108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sz w:val="24"/>
        </w:rPr>
      </w:pPr>
      <w:r w:rsidRPr="00B34108">
        <w:rPr>
          <w:sz w:val="24"/>
        </w:rPr>
        <w:t>3.</w:t>
      </w:r>
      <w:r w:rsidRPr="00B34108">
        <w:rPr>
          <w:sz w:val="24"/>
        </w:rPr>
        <w:tab/>
      </w:r>
      <w:r w:rsidR="008E275A" w:rsidRPr="008E275A">
        <w:rPr>
          <w:sz w:val="24"/>
        </w:rPr>
        <w:t>Obtain copies of certification</w:t>
      </w:r>
      <w:r w:rsidR="008E275A">
        <w:rPr>
          <w:sz w:val="24"/>
        </w:rPr>
        <w:t xml:space="preserve"> </w:t>
      </w:r>
      <w:r w:rsidR="008E275A" w:rsidRPr="008E275A">
        <w:rPr>
          <w:sz w:val="24"/>
        </w:rPr>
        <w:t>documents</w:t>
      </w:r>
      <w:r w:rsidRPr="00B34108">
        <w:rPr>
          <w:sz w:val="24"/>
        </w:rPr>
        <w:t xml:space="preserve">.  </w:t>
      </w:r>
    </w:p>
    <w:p w14:paraId="2ECA6A42" w14:textId="77777777" w:rsidR="00B34108" w:rsidRPr="00B34108" w:rsidRDefault="008E275A" w:rsidP="00B34108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sz w:val="24"/>
        </w:rPr>
      </w:pPr>
      <w:r>
        <w:rPr>
          <w:sz w:val="24"/>
        </w:rPr>
        <w:t>4.</w:t>
      </w:r>
      <w:r>
        <w:rPr>
          <w:sz w:val="24"/>
        </w:rPr>
        <w:tab/>
        <w:t>Facilitate</w:t>
      </w:r>
      <w:r w:rsidR="00B34108" w:rsidRPr="00B34108">
        <w:rPr>
          <w:sz w:val="24"/>
        </w:rPr>
        <w:t xml:space="preserve"> </w:t>
      </w:r>
      <w:r w:rsidR="00B34108">
        <w:rPr>
          <w:sz w:val="24"/>
        </w:rPr>
        <w:t>BL</w:t>
      </w:r>
      <w:r w:rsidR="00B34108" w:rsidRPr="00B34108">
        <w:rPr>
          <w:sz w:val="24"/>
        </w:rPr>
        <w:t>S training as needed.</w:t>
      </w:r>
    </w:p>
    <w:p w14:paraId="2ECA6A43" w14:textId="35583BFA" w:rsidR="008303D4" w:rsidRDefault="00B34108" w:rsidP="003624A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ind w:left="720" w:hanging="720"/>
        <w:rPr>
          <w:sz w:val="24"/>
        </w:rPr>
      </w:pPr>
      <w:r w:rsidRPr="00B34108">
        <w:rPr>
          <w:sz w:val="24"/>
        </w:rPr>
        <w:t>5.</w:t>
      </w:r>
      <w:r w:rsidRPr="00B34108">
        <w:rPr>
          <w:sz w:val="24"/>
        </w:rPr>
        <w:tab/>
      </w:r>
      <w:r w:rsidR="0036033D">
        <w:rPr>
          <w:sz w:val="24"/>
        </w:rPr>
        <w:t>Make sure that these decisions and the supervision required are done by an Appropriate Supervisor as defined by 2.30.010(a)</w:t>
      </w:r>
      <w:r>
        <w:rPr>
          <w:sz w:val="24"/>
        </w:rPr>
        <w:t xml:space="preserve"> </w:t>
      </w:r>
      <w:r w:rsidR="008303D4">
        <w:rPr>
          <w:sz w:val="24"/>
        </w:rPr>
        <w:t xml:space="preserve">who has an understanding of </w:t>
      </w:r>
      <w:r w:rsidRPr="00B34108">
        <w:rPr>
          <w:sz w:val="24"/>
        </w:rPr>
        <w:t xml:space="preserve">the </w:t>
      </w:r>
      <w:r>
        <w:rPr>
          <w:sz w:val="24"/>
        </w:rPr>
        <w:t>DHA</w:t>
      </w:r>
      <w:r w:rsidRPr="00B34108">
        <w:rPr>
          <w:sz w:val="24"/>
        </w:rPr>
        <w:t xml:space="preserve"> clinical evaluation process.  </w:t>
      </w:r>
    </w:p>
    <w:p w14:paraId="2ECA6A44" w14:textId="3D5A9273" w:rsidR="00B34108" w:rsidRPr="00B34108" w:rsidRDefault="00B34108" w:rsidP="00B34108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sz w:val="24"/>
        </w:rPr>
      </w:pPr>
      <w:r w:rsidRPr="00B34108">
        <w:rPr>
          <w:sz w:val="24"/>
        </w:rPr>
        <w:t>6.</w:t>
      </w:r>
      <w:r w:rsidRPr="00B34108">
        <w:rPr>
          <w:sz w:val="24"/>
        </w:rPr>
        <w:tab/>
      </w:r>
      <w:r w:rsidRPr="00E866B1">
        <w:rPr>
          <w:sz w:val="24"/>
        </w:rPr>
        <w:t>Develop an individu</w:t>
      </w:r>
      <w:r w:rsidR="003B138C">
        <w:rPr>
          <w:sz w:val="24"/>
        </w:rPr>
        <w:t>alized plan based on the above guidelines.</w:t>
      </w:r>
      <w:r w:rsidRPr="00E866B1">
        <w:rPr>
          <w:sz w:val="24"/>
        </w:rPr>
        <w:t xml:space="preserve"> </w:t>
      </w:r>
    </w:p>
    <w:p w14:paraId="2ECA6A46" w14:textId="69EF6FB6" w:rsidR="004F4802" w:rsidRPr="00B34108" w:rsidRDefault="004F4802" w:rsidP="00B34108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sz w:val="24"/>
        </w:rPr>
      </w:pPr>
    </w:p>
    <w:p w14:paraId="2ECA6A49" w14:textId="26B4D508" w:rsidR="004F4802" w:rsidRPr="003B138C" w:rsidRDefault="00B34108" w:rsidP="003B138C">
      <w:pPr>
        <w:spacing w:line="276" w:lineRule="auto"/>
        <w:rPr>
          <w:sz w:val="24"/>
        </w:rPr>
      </w:pPr>
      <w:r w:rsidRPr="003624AA">
        <w:rPr>
          <w:sz w:val="24"/>
        </w:rPr>
        <w:t>ROLE OF DHA</w:t>
      </w:r>
    </w:p>
    <w:p w14:paraId="2ECA6A4A" w14:textId="77777777" w:rsidR="003624AA" w:rsidRPr="003624AA" w:rsidRDefault="003624AA" w:rsidP="003624AA">
      <w:pPr>
        <w:pStyle w:val="ListParagraph"/>
        <w:numPr>
          <w:ilvl w:val="0"/>
          <w:numId w:val="6"/>
        </w:numPr>
        <w:tabs>
          <w:tab w:val="left" w:pos="630"/>
          <w:tab w:val="left" w:pos="810"/>
        </w:tabs>
      </w:pPr>
      <w:r>
        <w:rPr>
          <w:sz w:val="24"/>
        </w:rPr>
        <w:t xml:space="preserve">      </w:t>
      </w:r>
      <w:r w:rsidR="00B34108" w:rsidRPr="003624AA">
        <w:rPr>
          <w:sz w:val="24"/>
        </w:rPr>
        <w:t>Participate actively in her/his own learning.</w:t>
      </w:r>
    </w:p>
    <w:p w14:paraId="2ECA6A4B" w14:textId="6865B6F6" w:rsidR="003624AA" w:rsidRPr="003624AA" w:rsidRDefault="003624AA" w:rsidP="003624AA">
      <w:pPr>
        <w:pStyle w:val="ListParagraph"/>
        <w:numPr>
          <w:ilvl w:val="0"/>
          <w:numId w:val="6"/>
        </w:numPr>
        <w:tabs>
          <w:tab w:val="left" w:pos="1080"/>
        </w:tabs>
      </w:pPr>
      <w:r>
        <w:rPr>
          <w:sz w:val="24"/>
        </w:rPr>
        <w:t xml:space="preserve">      </w:t>
      </w:r>
      <w:r w:rsidR="003B138C">
        <w:rPr>
          <w:sz w:val="24"/>
        </w:rPr>
        <w:t>Help select</w:t>
      </w:r>
      <w:r w:rsidR="00B34108" w:rsidRPr="003624AA">
        <w:rPr>
          <w:sz w:val="24"/>
        </w:rPr>
        <w:t xml:space="preserve"> appropriate </w:t>
      </w:r>
      <w:r w:rsidR="003B138C">
        <w:rPr>
          <w:sz w:val="24"/>
        </w:rPr>
        <w:t>patient encounters.</w:t>
      </w:r>
    </w:p>
    <w:p w14:paraId="4FECE7BF" w14:textId="0E7EE094" w:rsidR="003B138C" w:rsidRPr="003B138C" w:rsidRDefault="003624AA" w:rsidP="003B138C">
      <w:pPr>
        <w:pStyle w:val="ListParagraph"/>
        <w:numPr>
          <w:ilvl w:val="0"/>
          <w:numId w:val="6"/>
        </w:numPr>
        <w:tabs>
          <w:tab w:val="left" w:pos="1080"/>
        </w:tabs>
      </w:pPr>
      <w:r>
        <w:rPr>
          <w:sz w:val="24"/>
        </w:rPr>
        <w:t xml:space="preserve">     </w:t>
      </w:r>
      <w:r w:rsidRPr="003624AA">
        <w:rPr>
          <w:sz w:val="24"/>
        </w:rPr>
        <w:t xml:space="preserve"> </w:t>
      </w:r>
      <w:r w:rsidR="00FF62C8" w:rsidRPr="003624AA">
        <w:rPr>
          <w:sz w:val="24"/>
        </w:rPr>
        <w:t>Ensure appropriate documentation is maintaine</w:t>
      </w:r>
      <w:r w:rsidR="003B138C">
        <w:rPr>
          <w:sz w:val="24"/>
        </w:rPr>
        <w:t>d.</w:t>
      </w:r>
    </w:p>
    <w:p w14:paraId="347A5180" w14:textId="7AC50280" w:rsidR="003B138C" w:rsidRPr="003624AA" w:rsidRDefault="00E45EA8" w:rsidP="003B138C">
      <w:pPr>
        <w:pStyle w:val="ListParagraph"/>
        <w:numPr>
          <w:ilvl w:val="0"/>
          <w:numId w:val="6"/>
        </w:numPr>
        <w:tabs>
          <w:tab w:val="left" w:pos="1080"/>
        </w:tabs>
      </w:pPr>
      <w:r>
        <w:rPr>
          <w:sz w:val="24"/>
        </w:rPr>
        <w:t xml:space="preserve">      M</w:t>
      </w:r>
      <w:r w:rsidR="003B138C">
        <w:rPr>
          <w:sz w:val="24"/>
        </w:rPr>
        <w:t>ake sure that all requirements are met.</w:t>
      </w:r>
    </w:p>
    <w:p w14:paraId="2ECA6A4D" w14:textId="1EF2B2DD" w:rsidR="00B34108" w:rsidRDefault="00B34108" w:rsidP="00B34108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jc w:val="both"/>
        <w:rPr>
          <w:sz w:val="24"/>
        </w:rPr>
      </w:pPr>
    </w:p>
    <w:p w14:paraId="5FC4795D" w14:textId="77777777" w:rsidR="003B138C" w:rsidRPr="00B34108" w:rsidRDefault="003B138C" w:rsidP="00B34108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jc w:val="both"/>
        <w:rPr>
          <w:vanish/>
          <w:sz w:val="24"/>
        </w:rPr>
      </w:pPr>
    </w:p>
    <w:p w14:paraId="2ECA6A4E" w14:textId="08AE8BCD" w:rsidR="00B34108" w:rsidRPr="003624AA" w:rsidRDefault="003B138C" w:rsidP="00B34108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jc w:val="both"/>
        <w:rPr>
          <w:sz w:val="24"/>
        </w:rPr>
      </w:pPr>
      <w:r>
        <w:rPr>
          <w:sz w:val="24"/>
        </w:rPr>
        <w:t>ROLE OF APPROPRIATE SUPERVISOR</w:t>
      </w:r>
      <w:r w:rsidR="00D5462B" w:rsidRPr="003624AA">
        <w:rPr>
          <w:sz w:val="24"/>
        </w:rPr>
        <w:t xml:space="preserve"> COMPLETING CLINICAL EVALUATION</w:t>
      </w:r>
    </w:p>
    <w:p w14:paraId="2ECA6A4F" w14:textId="77777777" w:rsidR="00B34108" w:rsidRPr="00B34108" w:rsidRDefault="00FF62C8" w:rsidP="00B34108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jc w:val="both"/>
        <w:rPr>
          <w:sz w:val="24"/>
        </w:rPr>
      </w:pPr>
      <w:r>
        <w:rPr>
          <w:sz w:val="24"/>
        </w:rPr>
        <w:t>1</w:t>
      </w:r>
      <w:r w:rsidR="00B34108" w:rsidRPr="00B34108">
        <w:rPr>
          <w:sz w:val="24"/>
        </w:rPr>
        <w:t>.</w:t>
      </w:r>
      <w:r w:rsidR="00B34108" w:rsidRPr="00B34108">
        <w:rPr>
          <w:sz w:val="24"/>
        </w:rPr>
        <w:tab/>
        <w:t xml:space="preserve">Provide adequate number of patient encounters to evaluate </w:t>
      </w:r>
      <w:r w:rsidR="00B34108">
        <w:rPr>
          <w:sz w:val="24"/>
        </w:rPr>
        <w:t>clinical skill</w:t>
      </w:r>
      <w:r w:rsidR="00E07CDE">
        <w:rPr>
          <w:sz w:val="24"/>
        </w:rPr>
        <w:t>s</w:t>
      </w:r>
      <w:r w:rsidR="00B34108">
        <w:rPr>
          <w:sz w:val="24"/>
        </w:rPr>
        <w:t xml:space="preserve"> </w:t>
      </w:r>
      <w:r w:rsidR="00B34108" w:rsidRPr="00B34108">
        <w:rPr>
          <w:sz w:val="24"/>
        </w:rPr>
        <w:t>competency.</w:t>
      </w:r>
    </w:p>
    <w:p w14:paraId="2ECA6A50" w14:textId="77777777" w:rsidR="00F24864" w:rsidRPr="00B34108" w:rsidRDefault="00E07CDE" w:rsidP="00F24864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jc w:val="both"/>
        <w:rPr>
          <w:sz w:val="24"/>
        </w:rPr>
      </w:pPr>
      <w:r>
        <w:rPr>
          <w:sz w:val="24"/>
        </w:rPr>
        <w:t>2</w:t>
      </w:r>
      <w:r w:rsidR="00B34108" w:rsidRPr="00B34108">
        <w:rPr>
          <w:sz w:val="24"/>
        </w:rPr>
        <w:t>.</w:t>
      </w:r>
      <w:r w:rsidR="00B34108" w:rsidRPr="00B34108">
        <w:rPr>
          <w:sz w:val="24"/>
        </w:rPr>
        <w:tab/>
      </w:r>
      <w:r w:rsidR="00F24864">
        <w:rPr>
          <w:sz w:val="24"/>
        </w:rPr>
        <w:t>Observe and e</w:t>
      </w:r>
      <w:r w:rsidR="00F24864" w:rsidRPr="00B34108">
        <w:rPr>
          <w:sz w:val="24"/>
        </w:rPr>
        <w:t>valuate ap</w:t>
      </w:r>
      <w:r w:rsidR="00F24864">
        <w:rPr>
          <w:sz w:val="24"/>
        </w:rPr>
        <w:t>propriateness of assessments and plans</w:t>
      </w:r>
      <w:r w:rsidR="00F24864" w:rsidRPr="00B34108">
        <w:rPr>
          <w:sz w:val="24"/>
        </w:rPr>
        <w:t>.</w:t>
      </w:r>
    </w:p>
    <w:p w14:paraId="2ECA6A51" w14:textId="77777777" w:rsidR="00F24864" w:rsidRDefault="00F24864" w:rsidP="00F24864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jc w:val="both"/>
        <w:rPr>
          <w:sz w:val="24"/>
        </w:rPr>
      </w:pPr>
      <w:r>
        <w:rPr>
          <w:sz w:val="24"/>
        </w:rPr>
        <w:t xml:space="preserve">3. </w:t>
      </w:r>
      <w:r>
        <w:rPr>
          <w:sz w:val="24"/>
        </w:rPr>
        <w:tab/>
        <w:t>Observe and evaluate clinical skills.</w:t>
      </w:r>
    </w:p>
    <w:p w14:paraId="2ECA6A52" w14:textId="77777777" w:rsidR="00B34108" w:rsidRPr="00B34108" w:rsidRDefault="00F24864" w:rsidP="00B34108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jc w:val="both"/>
        <w:rPr>
          <w:sz w:val="24"/>
        </w:rPr>
      </w:pPr>
      <w:r>
        <w:rPr>
          <w:sz w:val="24"/>
        </w:rPr>
        <w:t>4</w:t>
      </w:r>
      <w:r w:rsidR="00B34108" w:rsidRPr="00B34108">
        <w:rPr>
          <w:sz w:val="24"/>
        </w:rPr>
        <w:t>.</w:t>
      </w:r>
      <w:r w:rsidR="00B34108" w:rsidRPr="00B34108">
        <w:rPr>
          <w:sz w:val="24"/>
        </w:rPr>
        <w:tab/>
        <w:t xml:space="preserve">Co-sign completed </w:t>
      </w:r>
      <w:r w:rsidR="008B4714">
        <w:rPr>
          <w:sz w:val="24"/>
        </w:rPr>
        <w:t>chart notes</w:t>
      </w:r>
      <w:r w:rsidR="00B34108" w:rsidRPr="00B34108">
        <w:rPr>
          <w:sz w:val="24"/>
        </w:rPr>
        <w:t>.</w:t>
      </w:r>
    </w:p>
    <w:p w14:paraId="2ECA6A53" w14:textId="77777777" w:rsidR="00B34108" w:rsidRPr="00FF62C8" w:rsidRDefault="00F24864" w:rsidP="00B34108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jc w:val="both"/>
        <w:rPr>
          <w:sz w:val="24"/>
        </w:rPr>
      </w:pPr>
      <w:r>
        <w:rPr>
          <w:sz w:val="24"/>
        </w:rPr>
        <w:t>5</w:t>
      </w:r>
      <w:r w:rsidR="00B34108" w:rsidRPr="00B34108">
        <w:rPr>
          <w:sz w:val="24"/>
        </w:rPr>
        <w:t>.</w:t>
      </w:r>
      <w:r w:rsidR="00B34108" w:rsidRPr="00B34108">
        <w:rPr>
          <w:sz w:val="24"/>
        </w:rPr>
        <w:tab/>
      </w:r>
      <w:r w:rsidR="00E07CDE">
        <w:rPr>
          <w:sz w:val="24"/>
        </w:rPr>
        <w:t>Determine if DHA has met competency requirements</w:t>
      </w:r>
      <w:r w:rsidR="00B34108" w:rsidRPr="00FF62C8">
        <w:rPr>
          <w:sz w:val="24"/>
        </w:rPr>
        <w:t>.</w:t>
      </w:r>
      <w:r w:rsidR="00B34108" w:rsidRPr="00B34108">
        <w:rPr>
          <w:sz w:val="24"/>
        </w:rPr>
        <w:tab/>
      </w:r>
    </w:p>
    <w:p w14:paraId="2ECA6A54" w14:textId="77777777" w:rsidR="00B34108" w:rsidRPr="00B34108" w:rsidRDefault="00F24864" w:rsidP="00B34108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jc w:val="both"/>
        <w:rPr>
          <w:sz w:val="24"/>
        </w:rPr>
      </w:pPr>
      <w:r>
        <w:rPr>
          <w:sz w:val="24"/>
        </w:rPr>
        <w:t>6</w:t>
      </w:r>
      <w:r w:rsidR="00B34108" w:rsidRPr="00B34108">
        <w:rPr>
          <w:sz w:val="24"/>
        </w:rPr>
        <w:t>.</w:t>
      </w:r>
      <w:r w:rsidR="00B34108" w:rsidRPr="00B34108">
        <w:rPr>
          <w:sz w:val="24"/>
        </w:rPr>
        <w:tab/>
        <w:t xml:space="preserve">Review the overall performance with the </w:t>
      </w:r>
      <w:r w:rsidR="008B4714">
        <w:rPr>
          <w:sz w:val="24"/>
        </w:rPr>
        <w:t>DHA</w:t>
      </w:r>
      <w:r w:rsidR="00B34108" w:rsidRPr="00B34108">
        <w:rPr>
          <w:sz w:val="24"/>
        </w:rPr>
        <w:t>.</w:t>
      </w:r>
    </w:p>
    <w:p w14:paraId="2ECA6A55" w14:textId="394DAE75" w:rsidR="00B34108" w:rsidRDefault="003B138C" w:rsidP="00B34108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sz w:val="24"/>
        </w:rPr>
      </w:pPr>
      <w:r w:rsidRPr="003B138C">
        <w:rPr>
          <w:sz w:val="24"/>
        </w:rPr>
        <w:t xml:space="preserve">7.  </w:t>
      </w:r>
      <w:r w:rsidRPr="003B138C">
        <w:rPr>
          <w:sz w:val="24"/>
        </w:rPr>
        <w:tab/>
        <w:t>Make any needed modifications to clinical practice restrictions and/or standing orders.</w:t>
      </w:r>
    </w:p>
    <w:p w14:paraId="742A89BB" w14:textId="77777777" w:rsidR="003B138C" w:rsidRPr="003B138C" w:rsidRDefault="003B138C" w:rsidP="00B34108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sz w:val="24"/>
        </w:rPr>
      </w:pPr>
    </w:p>
    <w:p w14:paraId="2ECA6A56" w14:textId="5BC10B20" w:rsidR="00B34108" w:rsidRPr="009463B8" w:rsidRDefault="00E45EA8" w:rsidP="00B34108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sz w:val="24"/>
        </w:rPr>
      </w:pPr>
      <w:r>
        <w:rPr>
          <w:sz w:val="24"/>
          <w:u w:val="single"/>
        </w:rPr>
        <w:t>RE-ENTRY HELPFUL DOCUMENTS</w:t>
      </w:r>
    </w:p>
    <w:p w14:paraId="2ECA6A57" w14:textId="3304CB9B" w:rsidR="00B34108" w:rsidRPr="00E45EA8" w:rsidRDefault="009463B8" w:rsidP="00E45EA8">
      <w:pPr>
        <w:pStyle w:val="ListParagraph"/>
        <w:widowControl w:val="0"/>
        <w:numPr>
          <w:ilvl w:val="0"/>
          <w:numId w:val="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sz w:val="24"/>
        </w:rPr>
      </w:pPr>
      <w:r w:rsidRPr="00E45EA8">
        <w:rPr>
          <w:sz w:val="24"/>
        </w:rPr>
        <w:t>DHA</w:t>
      </w:r>
      <w:r w:rsidR="00B34108" w:rsidRPr="00E45EA8">
        <w:rPr>
          <w:sz w:val="24"/>
        </w:rPr>
        <w:t xml:space="preserve"> Re-entry Guidelines (this document)</w:t>
      </w:r>
    </w:p>
    <w:p w14:paraId="2ECA6A59" w14:textId="7403FA4F" w:rsidR="009463B8" w:rsidRPr="00E45EA8" w:rsidRDefault="00E45EA8" w:rsidP="00E45EA8">
      <w:pPr>
        <w:pStyle w:val="ListParagraph"/>
        <w:widowControl w:val="0"/>
        <w:numPr>
          <w:ilvl w:val="0"/>
          <w:numId w:val="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sz w:val="24"/>
        </w:rPr>
      </w:pPr>
      <w:r w:rsidRPr="00E45EA8">
        <w:rPr>
          <w:sz w:val="24"/>
        </w:rPr>
        <w:t>DHA</w:t>
      </w:r>
      <w:r w:rsidR="009463B8" w:rsidRPr="00E45EA8">
        <w:rPr>
          <w:sz w:val="24"/>
        </w:rPr>
        <w:t xml:space="preserve"> Preceptorship Checklist; or </w:t>
      </w:r>
      <w:r w:rsidRPr="00E45EA8">
        <w:rPr>
          <w:sz w:val="24"/>
        </w:rPr>
        <w:t>DHA</w:t>
      </w:r>
      <w:r w:rsidR="009463B8" w:rsidRPr="00E45EA8">
        <w:rPr>
          <w:sz w:val="24"/>
        </w:rPr>
        <w:t xml:space="preserve"> Observation Log/Checklist for Recertification</w:t>
      </w:r>
    </w:p>
    <w:p w14:paraId="2ECA6A5A" w14:textId="088C6033" w:rsidR="009463B8" w:rsidRPr="00E45EA8" w:rsidRDefault="00D5462B" w:rsidP="00E45EA8">
      <w:pPr>
        <w:pStyle w:val="ListParagraph"/>
        <w:widowControl w:val="0"/>
        <w:numPr>
          <w:ilvl w:val="0"/>
          <w:numId w:val="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sz w:val="24"/>
        </w:rPr>
      </w:pPr>
      <w:r w:rsidRPr="00E45EA8">
        <w:rPr>
          <w:sz w:val="24"/>
        </w:rPr>
        <w:t>DHA</w:t>
      </w:r>
      <w:r w:rsidR="009463B8" w:rsidRPr="00E45EA8">
        <w:rPr>
          <w:sz w:val="24"/>
        </w:rPr>
        <w:t xml:space="preserve"> Application </w:t>
      </w:r>
      <w:r w:rsidRPr="00E45EA8">
        <w:rPr>
          <w:sz w:val="24"/>
        </w:rPr>
        <w:t>Initial/ Change in Level/ Renewal of Certification</w:t>
      </w:r>
      <w:r w:rsidR="009463B8" w:rsidRPr="00E45EA8">
        <w:rPr>
          <w:sz w:val="24"/>
        </w:rPr>
        <w:t xml:space="preserve"> </w:t>
      </w:r>
    </w:p>
    <w:p w14:paraId="2ECA6A5C" w14:textId="77777777" w:rsidR="00D1177A" w:rsidRPr="00D1177A" w:rsidRDefault="00D1177A" w:rsidP="009463B8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ind w:firstLine="720"/>
        <w:rPr>
          <w:color w:val="FF0000"/>
          <w:sz w:val="24"/>
        </w:rPr>
      </w:pPr>
    </w:p>
    <w:p w14:paraId="2ECA6A5D" w14:textId="77777777" w:rsidR="009463B8" w:rsidRPr="009463B8" w:rsidRDefault="009463B8" w:rsidP="009463B8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ind w:firstLine="720"/>
        <w:rPr>
          <w:sz w:val="24"/>
        </w:rPr>
      </w:pPr>
    </w:p>
    <w:p w14:paraId="2ECA6A5E" w14:textId="77777777" w:rsidR="00B34108" w:rsidRPr="00B34108" w:rsidRDefault="00B34108" w:rsidP="00B34108">
      <w:pPr>
        <w:rPr>
          <w:sz w:val="24"/>
          <w:szCs w:val="24"/>
        </w:rPr>
      </w:pPr>
    </w:p>
    <w:sectPr w:rsidR="00B34108" w:rsidRPr="00B341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33D76C" w14:textId="77777777" w:rsidR="003B1F19" w:rsidRDefault="003B1F19" w:rsidP="00CB6166">
      <w:r>
        <w:separator/>
      </w:r>
    </w:p>
  </w:endnote>
  <w:endnote w:type="continuationSeparator" w:id="0">
    <w:p w14:paraId="5D7E8257" w14:textId="77777777" w:rsidR="003B1F19" w:rsidRDefault="003B1F19" w:rsidP="00CB6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etter Gothic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926F2" w14:textId="77777777" w:rsidR="00794977" w:rsidRDefault="007949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CA6A63" w14:textId="63653520" w:rsidR="00CB6166" w:rsidRPr="003624AA" w:rsidRDefault="00794977">
    <w:pPr>
      <w:pStyle w:val="Footer"/>
    </w:pPr>
    <w:r>
      <w:t>CHAPCB</w:t>
    </w:r>
    <w:bookmarkStart w:id="0" w:name="_GoBack"/>
    <w:bookmarkEnd w:id="0"/>
    <w:r w:rsidR="00D5462B" w:rsidRPr="003624AA">
      <w:t xml:space="preserve"> Approved: </w:t>
    </w:r>
    <w:r w:rsidR="00131897">
      <w:t>October 27, 2023</w:t>
    </w:r>
  </w:p>
  <w:p w14:paraId="2ECA6A64" w14:textId="77777777" w:rsidR="00CB6166" w:rsidRDefault="00CB61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805A51" w14:textId="77777777" w:rsidR="00794977" w:rsidRDefault="007949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0B0227" w14:textId="77777777" w:rsidR="003B1F19" w:rsidRDefault="003B1F19" w:rsidP="00CB6166">
      <w:r>
        <w:separator/>
      </w:r>
    </w:p>
  </w:footnote>
  <w:footnote w:type="continuationSeparator" w:id="0">
    <w:p w14:paraId="667C64BE" w14:textId="77777777" w:rsidR="003B1F19" w:rsidRDefault="003B1F19" w:rsidP="00CB6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83D6A" w14:textId="77777777" w:rsidR="00794977" w:rsidRDefault="007949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80508" w14:textId="77777777" w:rsidR="00794977" w:rsidRDefault="007949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929F60" w14:textId="77777777" w:rsidR="00794977" w:rsidRDefault="007949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F1E35"/>
    <w:multiLevelType w:val="hybridMultilevel"/>
    <w:tmpl w:val="FECA4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B5B3C"/>
    <w:multiLevelType w:val="hybridMultilevel"/>
    <w:tmpl w:val="AC3644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DE305B"/>
    <w:multiLevelType w:val="hybridMultilevel"/>
    <w:tmpl w:val="784A3E7C"/>
    <w:lvl w:ilvl="0" w:tplc="8E6E8036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8E678E"/>
    <w:multiLevelType w:val="hybridMultilevel"/>
    <w:tmpl w:val="DCB000E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4B93014E"/>
    <w:multiLevelType w:val="singleLevel"/>
    <w:tmpl w:val="78640A2A"/>
    <w:lvl w:ilvl="0">
      <w:start w:val="5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</w:abstractNum>
  <w:abstractNum w:abstractNumId="5" w15:restartNumberingAfterBreak="0">
    <w:nsid w:val="4EF83971"/>
    <w:multiLevelType w:val="hybridMultilevel"/>
    <w:tmpl w:val="92A087B8"/>
    <w:lvl w:ilvl="0" w:tplc="040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035BDF"/>
    <w:multiLevelType w:val="hybridMultilevel"/>
    <w:tmpl w:val="590481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108"/>
    <w:rsid w:val="00131897"/>
    <w:rsid w:val="00200BB5"/>
    <w:rsid w:val="0020208E"/>
    <w:rsid w:val="00210B84"/>
    <w:rsid w:val="00231739"/>
    <w:rsid w:val="0029658E"/>
    <w:rsid w:val="0036033D"/>
    <w:rsid w:val="003624AA"/>
    <w:rsid w:val="003B138C"/>
    <w:rsid w:val="003B1F19"/>
    <w:rsid w:val="004A4F61"/>
    <w:rsid w:val="004D2E58"/>
    <w:rsid w:val="004F450A"/>
    <w:rsid w:val="004F4802"/>
    <w:rsid w:val="00555084"/>
    <w:rsid w:val="006F0882"/>
    <w:rsid w:val="00794977"/>
    <w:rsid w:val="00796802"/>
    <w:rsid w:val="008303D4"/>
    <w:rsid w:val="00844BD6"/>
    <w:rsid w:val="008B4714"/>
    <w:rsid w:val="008E00DE"/>
    <w:rsid w:val="008E275A"/>
    <w:rsid w:val="0091051E"/>
    <w:rsid w:val="009463B8"/>
    <w:rsid w:val="009815A6"/>
    <w:rsid w:val="009B25BF"/>
    <w:rsid w:val="009B4F5E"/>
    <w:rsid w:val="009D0530"/>
    <w:rsid w:val="009E7D7A"/>
    <w:rsid w:val="009F41B6"/>
    <w:rsid w:val="00A16093"/>
    <w:rsid w:val="00AF692C"/>
    <w:rsid w:val="00AF6C2A"/>
    <w:rsid w:val="00B220EF"/>
    <w:rsid w:val="00B34108"/>
    <w:rsid w:val="00C4579F"/>
    <w:rsid w:val="00CB49E6"/>
    <w:rsid w:val="00CB6166"/>
    <w:rsid w:val="00CD2409"/>
    <w:rsid w:val="00D1177A"/>
    <w:rsid w:val="00D5462B"/>
    <w:rsid w:val="00D91B87"/>
    <w:rsid w:val="00DC7273"/>
    <w:rsid w:val="00DD457F"/>
    <w:rsid w:val="00E07CDE"/>
    <w:rsid w:val="00E14393"/>
    <w:rsid w:val="00E45EA8"/>
    <w:rsid w:val="00E866B1"/>
    <w:rsid w:val="00EC2F6A"/>
    <w:rsid w:val="00EC447D"/>
    <w:rsid w:val="00EF233D"/>
    <w:rsid w:val="00F24864"/>
    <w:rsid w:val="00F47945"/>
    <w:rsid w:val="00F5104B"/>
    <w:rsid w:val="00FC4022"/>
    <w:rsid w:val="00FF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A6A15"/>
  <w15:docId w15:val="{BE097DD2-E015-4870-A6C3-2A60E45ED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1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41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B34108"/>
    <w:pPr>
      <w:keepNext/>
      <w:widowControl w:val="0"/>
      <w:tabs>
        <w:tab w:val="center" w:pos="4680"/>
      </w:tabs>
      <w:jc w:val="center"/>
      <w:outlineLvl w:val="1"/>
    </w:pPr>
    <w:rPr>
      <w:rFonts w:ascii="Letter Gothic" w:hAnsi="Letter Gothic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34108"/>
    <w:rPr>
      <w:rFonts w:ascii="Letter Gothic" w:eastAsia="Times New Roman" w:hAnsi="Letter Gothic" w:cs="Times New Roman"/>
      <w:b/>
      <w:sz w:val="24"/>
      <w:szCs w:val="20"/>
    </w:rPr>
  </w:style>
  <w:style w:type="table" w:styleId="TableGrid">
    <w:name w:val="Table Grid"/>
    <w:basedOn w:val="TableNormal"/>
    <w:uiPriority w:val="59"/>
    <w:rsid w:val="00B34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10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341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B61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616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B61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6166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61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16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1177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17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177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177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17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177A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D457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Alaska Native Tribal Health Consortium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ANTHC</dc:creator>
  <cp:lastModifiedBy>Giauque, Erin S</cp:lastModifiedBy>
  <cp:revision>3</cp:revision>
  <cp:lastPrinted>2023-10-30T18:45:00Z</cp:lastPrinted>
  <dcterms:created xsi:type="dcterms:W3CDTF">2023-10-30T18:49:00Z</dcterms:created>
  <dcterms:modified xsi:type="dcterms:W3CDTF">2023-10-30T19:42:00Z</dcterms:modified>
</cp:coreProperties>
</file>